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default" w:hAnsi="仿宋" w:eastAsia="仿宋" w:cs="仿宋" w:asciiTheme="minorAscii"/>
          <w:b/>
          <w:bCs w:val="0"/>
          <w:i w:val="0"/>
          <w:caps w:val="0"/>
          <w:color w:val="auto"/>
          <w:spacing w:val="12"/>
          <w:sz w:val="48"/>
          <w:szCs w:val="48"/>
          <w:shd w:val="clear" w:fill="FFFFFF"/>
          <w:lang w:val="en-US" w:eastAsia="zh-CN"/>
        </w:rPr>
      </w:pPr>
      <w:r>
        <w:rPr>
          <w:rStyle w:val="5"/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48"/>
          <w:szCs w:val="48"/>
          <w:shd w:val="clear" w:fill="FFFFFF"/>
          <w:lang w:val="en-US" w:eastAsia="zh-CN"/>
        </w:rPr>
        <w:t>申报常见问题说明</w:t>
      </w:r>
    </w:p>
    <w:p>
      <w:pPr>
        <w:numPr>
          <w:ilvl w:val="0"/>
          <w:numId w:val="1"/>
        </w:numP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银行卡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开户行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具体到支行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，例：中国农业银行天津杭州道支行。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切记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不要使用过期卡、转账限额卡、二类卡等无法进行正常转账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银行卡</w:t>
      </w:r>
      <w:r>
        <w:rPr>
          <w:rFonts w:hint="eastAsia" w:ascii="仿宋" w:hAnsi="仿宋" w:eastAsia="仿宋" w:cs="仿宋"/>
          <w:sz w:val="30"/>
          <w:szCs w:val="30"/>
        </w:rPr>
        <w:t>，以免造成无法正常转入救助金。</w:t>
      </w:r>
    </w:p>
    <w:p>
      <w:pPr>
        <w:numPr>
          <w:ilvl w:val="0"/>
          <w:numId w:val="1"/>
        </w:numP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</w:pPr>
      <w:r>
        <w:rPr>
          <w:rStyle w:val="5"/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Style w:val="5"/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30"/>
          <w:szCs w:val="30"/>
          <w:shd w:val="clear" w:fill="FFFFFF"/>
        </w:rPr>
        <w:t>申报时间段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必须为有效期内连续十二个月且</w:t>
      </w:r>
      <w:r>
        <w:rPr>
          <w:rStyle w:val="5"/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30"/>
          <w:szCs w:val="30"/>
          <w:shd w:val="clear" w:fill="FFFFFF"/>
        </w:rPr>
        <w:t>精确到日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（例：2023年2月15日—2024年2月14日）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eastAsia="zh-CN"/>
        </w:rPr>
        <w:t>，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切记是12个月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并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确定此时间段之前未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申报过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。</w:t>
      </w:r>
    </w:p>
    <w:p>
      <w:pPr>
        <w:numPr>
          <w:ilvl w:val="0"/>
          <w:numId w:val="1"/>
        </w:numP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</w:pPr>
      <w:r>
        <w:rPr>
          <w:rFonts w:hint="eastAsia" w:hAnsi="仿宋" w:eastAsia="仿宋" w:cs="仿宋" w:asciiTheme="minorAscii"/>
          <w:b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hAnsi="仿宋" w:eastAsia="仿宋" w:cs="仿宋" w:asciiTheme="minorAscii"/>
          <w:b/>
          <w:bCs w:val="0"/>
          <w:color w:val="auto"/>
          <w:sz w:val="30"/>
          <w:szCs w:val="30"/>
        </w:rPr>
        <w:t>票据</w:t>
      </w:r>
      <w:r>
        <w:rPr>
          <w:rFonts w:hint="eastAsia" w:hAnsi="仿宋" w:eastAsia="仿宋" w:cs="仿宋" w:asciiTheme="minorAscii"/>
          <w:b/>
          <w:bCs w:val="0"/>
          <w:color w:val="auto"/>
          <w:sz w:val="30"/>
          <w:szCs w:val="30"/>
          <w:lang w:val="en-US" w:eastAsia="zh-CN"/>
        </w:rPr>
        <w:t>日期：以</w:t>
      </w:r>
      <w:r>
        <w:rPr>
          <w:rFonts w:hint="eastAsia" w:hAnsi="仿宋" w:eastAsia="仿宋" w:cs="仿宋" w:asciiTheme="minorAscii"/>
          <w:b/>
          <w:bCs w:val="0"/>
          <w:color w:val="auto"/>
          <w:sz w:val="30"/>
          <w:szCs w:val="30"/>
        </w:rPr>
        <w:t>就诊日期（收费日期）为准</w:t>
      </w:r>
      <w:r>
        <w:rPr>
          <w:rFonts w:hint="eastAsia" w:hAnsi="仿宋" w:eastAsia="仿宋" w:cs="仿宋" w:asciiTheme="minorAscii"/>
          <w:b w:val="0"/>
          <w:bCs/>
          <w:color w:val="auto"/>
          <w:sz w:val="30"/>
          <w:szCs w:val="30"/>
        </w:rPr>
        <w:t>，</w:t>
      </w:r>
      <w:r>
        <w:rPr>
          <w:rFonts w:hint="eastAsia" w:hAnsi="仿宋" w:eastAsia="仿宋" w:cs="仿宋" w:asciiTheme="minorAscii"/>
          <w:b w:val="0"/>
          <w:bCs/>
          <w:color w:val="auto"/>
          <w:sz w:val="30"/>
          <w:szCs w:val="30"/>
          <w:lang w:val="en-US" w:eastAsia="zh-CN"/>
        </w:rPr>
        <w:t>后补票据，不要以票据开票日期为准。</w:t>
      </w:r>
      <w:r>
        <w:rPr>
          <w:rFonts w:hint="eastAsia" w:hAnsi="仿宋" w:eastAsia="仿宋" w:cs="仿宋" w:asciiTheme="minorAscii"/>
          <w:b w:val="0"/>
          <w:bCs/>
          <w:color w:val="auto"/>
          <w:sz w:val="30"/>
          <w:szCs w:val="30"/>
        </w:rPr>
        <w:t>住院入院日期在一年医药费起止日期内，出院或医药费结算日期超出起止日期的，可按照对会员有利的原则，将超出日期的医药费也计算在内，但申报时间段不能重合。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</w:pPr>
      <w:r>
        <w:rPr>
          <w:rFonts w:hint="eastAsia" w:hAnsi="仿宋" w:eastAsia="仿宋" w:cs="仿宋" w:asciiTheme="minorAscii"/>
          <w:b w:val="0"/>
          <w:bCs/>
          <w:color w:val="auto"/>
          <w:sz w:val="30"/>
          <w:szCs w:val="30"/>
          <w:lang w:val="en-US" w:eastAsia="zh-CN"/>
        </w:rPr>
        <w:t xml:space="preserve"> 关于计算个人支付金额范围：申请人在基本医疗保险定点医疗机构治疗产生的“个人支付金额”，包括门诊、门特、住院收费票据中“个人账户支付”+“个人现金支付”总金额，减除申请人承保的各类疾病或意外伤害等保险（</w:t>
      </w:r>
      <w:r>
        <w:rPr>
          <w:rFonts w:hint="eastAsia" w:hAnsi="仿宋" w:eastAsia="仿宋" w:cs="仿宋" w:asciiTheme="minorAscii"/>
          <w:b/>
          <w:bCs w:val="0"/>
          <w:color w:val="auto"/>
          <w:sz w:val="30"/>
          <w:szCs w:val="30"/>
          <w:lang w:val="en-US" w:eastAsia="zh-CN"/>
        </w:rPr>
        <w:t>含惠民保</w:t>
      </w:r>
      <w:r>
        <w:rPr>
          <w:rFonts w:hint="eastAsia" w:hAnsi="仿宋" w:eastAsia="仿宋" w:cs="仿宋" w:asciiTheme="minorAscii"/>
          <w:b w:val="0"/>
          <w:bCs/>
          <w:color w:val="auto"/>
          <w:sz w:val="30"/>
          <w:szCs w:val="30"/>
          <w:lang w:val="en-US" w:eastAsia="zh-CN"/>
        </w:rPr>
        <w:t>）赔付金额和单位二次报销金额后的实际个人自费金额。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hAnsi="仿宋" w:eastAsia="仿宋" w:cs="仿宋" w:asciiTheme="minorAscii"/>
          <w:b w:val="0"/>
          <w:bCs/>
          <w:sz w:val="30"/>
          <w:szCs w:val="30"/>
          <w:lang w:val="en-US" w:eastAsia="zh-CN"/>
        </w:rPr>
      </w:pPr>
      <w:r>
        <w:rPr>
          <w:rFonts w:hint="eastAsia" w:hAnsi="仿宋" w:eastAsia="仿宋" w:cs="仿宋" w:asciiTheme="minorAscii"/>
          <w:b w:val="0"/>
          <w:bCs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外购处方药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一般不得超过5种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eastAsia="zh-CN"/>
        </w:rPr>
        <w:t>（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以药品通用名称区分药品品种）。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须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提供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诊断证明书、医师处方（需加盖医院章）、购药发票和费用清单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  <w:t>等，并将其中的医保支付金额扣除。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hAnsi="仿宋" w:eastAsia="仿宋" w:cs="仿宋" w:asciiTheme="minorAscii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 xml:space="preserve"> 当年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发生的医药费所产生的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二次报销，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数据在下一年出来。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hAnsi="仿宋" w:eastAsia="仿宋" w:cs="仿宋" w:asciiTheme="minorAscii"/>
          <w:b w:val="0"/>
          <w:bCs/>
          <w:sz w:val="30"/>
          <w:szCs w:val="30"/>
          <w:lang w:val="en-US" w:eastAsia="zh-CN"/>
        </w:rPr>
      </w:pPr>
      <w:r>
        <w:rPr>
          <w:rFonts w:hint="eastAsia" w:hAnsi="仿宋" w:eastAsia="仿宋" w:cs="仿宋" w:asciiTheme="minorAscii"/>
          <w:b w:val="0"/>
          <w:bCs/>
          <w:sz w:val="30"/>
          <w:szCs w:val="30"/>
          <w:lang w:val="en-US" w:eastAsia="zh-CN"/>
        </w:rPr>
        <w:t xml:space="preserve"> 附件1和附件2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表格中金额单位为</w:t>
      </w:r>
      <w:r>
        <w:rPr>
          <w:rStyle w:val="5"/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万元</w:t>
      </w: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无商业保险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,金额填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“0”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hAnsi="仿宋" w:eastAsia="仿宋" w:cs="仿宋" w:asciiTheme="minorAscii"/>
          <w:b/>
          <w:bCs w:val="0"/>
          <w:sz w:val="30"/>
          <w:szCs w:val="30"/>
          <w:lang w:val="en-US" w:eastAsia="zh-CN"/>
        </w:rPr>
        <w:t>签字盖章</w:t>
      </w:r>
      <w:r>
        <w:rPr>
          <w:rFonts w:hint="eastAsia" w:hAnsi="华文仿宋" w:eastAsia="华文仿宋" w:cs="华文仿宋" w:asciiTheme="minorAscii"/>
          <w:sz w:val="30"/>
          <w:szCs w:val="30"/>
          <w:lang w:val="en-US" w:eastAsia="zh-CN"/>
        </w:rPr>
        <w:t>《天津工业大学工会会员大病救助申请书》、《</w:t>
      </w:r>
      <w:r>
        <w:rPr>
          <w:rFonts w:hint="eastAsia" w:hAnsi="华文仿宋" w:eastAsia="华文仿宋" w:cs="华文仿宋" w:asciiTheme="minorAscii"/>
          <w:sz w:val="30"/>
          <w:szCs w:val="30"/>
        </w:rPr>
        <w:t>职工会员大病救助申报表</w:t>
      </w:r>
      <w:r>
        <w:rPr>
          <w:rFonts w:hint="eastAsia" w:hAnsi="华文仿宋" w:eastAsia="华文仿宋" w:cs="华文仿宋" w:asciiTheme="minorAscii"/>
          <w:sz w:val="30"/>
          <w:szCs w:val="30"/>
          <w:lang w:val="en-US" w:eastAsia="zh-CN"/>
        </w:rPr>
        <w:t>》、《工会会员在职证明》、《财务印章使用申请表》均由申请人</w:t>
      </w:r>
      <w:r>
        <w:rPr>
          <w:rFonts w:hint="eastAsia" w:hAnsi="华文仿宋" w:eastAsia="华文仿宋" w:cs="华文仿宋" w:asciiTheme="minorAscii"/>
          <w:b/>
          <w:bCs/>
          <w:sz w:val="30"/>
          <w:szCs w:val="30"/>
          <w:lang w:val="en-US" w:eastAsia="zh-CN"/>
        </w:rPr>
        <w:t>所在分会签字、盖章</w:t>
      </w:r>
      <w:r>
        <w:rPr>
          <w:rFonts w:hint="eastAsia" w:hAnsi="仿宋" w:eastAsia="仿宋" w:cs="仿宋" w:asciiTheme="minorAscii"/>
          <w:b w:val="0"/>
          <w:bCs/>
          <w:iCs/>
          <w:sz w:val="30"/>
          <w:szCs w:val="30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hAnsi="仿宋" w:eastAsia="仿宋" w:cs="仿宋" w:asciiTheme="minorAscii"/>
          <w:b w:val="0"/>
          <w:bCs/>
          <w:iCs/>
          <w:sz w:val="30"/>
          <w:szCs w:val="30"/>
        </w:rPr>
      </w:pPr>
      <w:r>
        <w:rPr>
          <w:rStyle w:val="5"/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“身份证号”“银行卡号”打印是否完整，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因格式原因短缺</w:t>
      </w:r>
      <w:bookmarkStart w:id="0" w:name="OLE_LINK1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hAnsi="仿宋" w:eastAsia="仿宋" w:cs="仿宋" w:asciiTheme="minorAscii"/>
          <w:b w:val="0"/>
          <w:bCs/>
          <w:iCs/>
          <w:sz w:val="30"/>
          <w:szCs w:val="30"/>
        </w:rPr>
      </w:pP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复印件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要清楚，尤其</w:t>
      </w:r>
      <w:r>
        <w:rPr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药费金额要清晰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。所附</w:t>
      </w:r>
      <w:r>
        <w:rPr>
          <w:rFonts w:hint="eastAsia" w:hAnsi="仿宋" w:eastAsia="仿宋" w:asciiTheme="minorAscii"/>
          <w:b/>
          <w:bCs/>
          <w:sz w:val="32"/>
          <w:szCs w:val="32"/>
        </w:rPr>
        <w:t>医</w:t>
      </w:r>
      <w:r>
        <w:rPr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药费单据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原件与复印件的排列</w:t>
      </w:r>
      <w:r>
        <w:rPr>
          <w:rFonts w:hint="eastAsia" w:hAnsi="仿宋" w:eastAsia="仿宋" w:cs="仿宋" w:asciiTheme="minorAscii"/>
          <w:b/>
          <w:bCs w:val="0"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顺序</w:t>
      </w:r>
      <w:r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与《市总</w:t>
      </w:r>
      <w:r>
        <w:rPr>
          <w:rFonts w:hint="eastAsia" w:hAnsi="华文仿宋" w:eastAsia="华文仿宋" w:cs="华文仿宋" w:asciiTheme="minorAscii"/>
          <w:sz w:val="30"/>
          <w:szCs w:val="30"/>
          <w:lang w:val="en-US" w:eastAsia="zh-CN"/>
        </w:rPr>
        <w:t>大病救助药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费清单》</w:t>
      </w:r>
      <w:r>
        <w:rPr>
          <w:rFonts w:hint="eastAsia" w:ascii="仿宋" w:hAnsi="仿宋" w:eastAsia="仿宋" w:cs="仿宋"/>
          <w:b/>
          <w:sz w:val="30"/>
          <w:szCs w:val="30"/>
        </w:rPr>
        <w:t>顺序一致。</w:t>
      </w:r>
    </w:p>
    <w:p>
      <w:pPr>
        <w:numPr>
          <w:ilvl w:val="0"/>
          <w:numId w:val="0"/>
        </w:numPr>
        <w:ind w:leftChars="0"/>
        <w:rPr>
          <w:rFonts w:hint="eastAsia" w:hAnsi="仿宋" w:eastAsia="仿宋" w:cs="仿宋" w:asciiTheme="minorAscii"/>
          <w:b w:val="0"/>
          <w:bCs/>
          <w:i w:val="0"/>
          <w:caps w:val="0"/>
          <w:color w:val="auto"/>
          <w:spacing w:val="12"/>
          <w:sz w:val="30"/>
          <w:szCs w:val="30"/>
          <w:shd w:val="clear" w:fill="FFFFFF"/>
        </w:rPr>
      </w:pPr>
    </w:p>
    <w:p>
      <w:pPr>
        <w:numPr>
          <w:ilvl w:val="0"/>
          <w:numId w:val="0"/>
        </w:numPr>
        <w:rPr>
          <w:rFonts w:hint="eastAsia" w:hAnsi="仿宋" w:eastAsia="仿宋" w:cs="仿宋" w:asciiTheme="minorAscii"/>
          <w:b w:val="0"/>
          <w:bCs/>
          <w:iCs/>
          <w:sz w:val="30"/>
          <w:szCs w:val="30"/>
        </w:rPr>
      </w:pPr>
    </w:p>
    <w:p>
      <w:pPr>
        <w:numPr>
          <w:ilvl w:val="0"/>
          <w:numId w:val="0"/>
        </w:numPr>
        <w:rPr>
          <w:rFonts w:hint="default" w:hAnsi="仿宋" w:eastAsia="仿宋" w:asciiTheme="minorAscii"/>
          <w:sz w:val="30"/>
          <w:szCs w:val="30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29614B"/>
    <w:multiLevelType w:val="singleLevel"/>
    <w:tmpl w:val="D52961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7ECE"/>
    <w:rsid w:val="08E067AF"/>
    <w:rsid w:val="0A8C1702"/>
    <w:rsid w:val="0BAF2145"/>
    <w:rsid w:val="0DBD0C54"/>
    <w:rsid w:val="1505251D"/>
    <w:rsid w:val="16100DE1"/>
    <w:rsid w:val="176F2455"/>
    <w:rsid w:val="18863946"/>
    <w:rsid w:val="202E703D"/>
    <w:rsid w:val="2C1C51EA"/>
    <w:rsid w:val="308A6068"/>
    <w:rsid w:val="332416BC"/>
    <w:rsid w:val="451B2874"/>
    <w:rsid w:val="4D1A2998"/>
    <w:rsid w:val="4E036317"/>
    <w:rsid w:val="53967C30"/>
    <w:rsid w:val="636F0FB6"/>
    <w:rsid w:val="65CF6D57"/>
    <w:rsid w:val="69F103B4"/>
    <w:rsid w:val="73F60529"/>
    <w:rsid w:val="7B456A46"/>
    <w:rsid w:val="7D8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2025-05-07T03:34:00Z</dcterms:created>
  <dc:creator>lenovo</dc:creator>
  <cp:lastModifiedBy>lenovo</cp:lastModifiedBy>
  <dcterms:modified xsi:type="dcterms:W3CDTF">2025-05-13T02:52:45Z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